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GräbG — Feststellung und Erhaltung von Gräbern</w:t>
      </w:r>
    </w:p>
    <w:p>
      <w:r>
        <w:rPr>
          <w:color w:val="555555"/>
          <w:sz w:val="18"/>
        </w:rPr>
        <w:t xml:space="preserve">Gräbergesetz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Länder haben die in ihrem Gebiet liegenden Gräber nach § 1 festzustellen, in Listen nachzuweisen und diese Listen auf dem Laufenden zu halten.</w:t>
      </w:r>
    </w:p>
    <w:p>
      <w:r>
        <w:t xml:space="preserve">(2) Demjenigen, der ein berechtigtes Interesse darlegt, ist Auskunft darüber zu erteilen, ob auf einem Grundstück ein Grab nach § 1 liegt.</w:t>
      </w:r>
    </w:p>
    <w:p>
      <w:r>
        <w:t xml:space="preserve">(3) Die Länder haben die in ihrem Gebiet liegenden Gräber nach § 1 zu erhalten. Maßnahmen zur Erhaltung sind Anlegung, Instandsetzung und Pflege.</w:t>
      </w:r>
    </w:p>
    <w:p>
      <w:r>
        <w:rPr>
          <w:color w:val="555555"/>
          <w:sz w:val="17"/>
        </w:rPr>
        <w:t xml:space="preserve">Zitiervorschlag: § 5 GräbG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