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GräbG — Ruherecht</w:t>
      </w:r>
    </w:p>
    <w:p>
      <w:r>
        <w:rPr>
          <w:color w:val="555555"/>
          <w:sz w:val="18"/>
        </w:rPr>
        <w:t xml:space="preserve">Gräbergesetz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Gräber nach § 1 bleiben dauernd bestehen.</w:t>
      </w:r>
    </w:p>
    <w:p>
      <w:r>
        <w:t xml:space="preserve">(2) Der jeweilige Eigentümer eines mit einem Ruherecht nach Absatz 1 belasteten Grundstücks hat das Grab bestehen zu lassen, den Zugang zu ihm sowie Maßnahmen und Einwirkungen zu seiner Erhaltung zu dulden; insoweit besteht zugunsten des Landes, in dem das Grundstück liegt, eine öffentliche Last.</w:t>
      </w:r>
    </w:p>
    <w:p>
      <w:r>
        <w:t xml:space="preserve">(3) Die öffentliche Last nach Absatz 2 geht den öffentlichen und privaten Rechten an dem Grundstück im Rang vor.</w:t>
      </w:r>
    </w:p>
    <w:p>
      <w:r>
        <w:rPr>
          <w:color w:val="555555"/>
          <w:sz w:val="17"/>
        </w:rPr>
        <w:t xml:space="preserve">Zitiervorschlag: § 2 GräbG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https://recht.nulegal.eu/gesetze/Gr%C3%A4bG/2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