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GräbG — Anwendung des Gräbergesetzes in den neuen Bundesländern</w:t>
      </w:r>
    </w:p>
    <w:p>
      <w:r>
        <w:rPr>
          <w:color w:val="555555"/>
          <w:sz w:val="18"/>
        </w:rPr>
        <w:t xml:space="preserve">Gräbergesetz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Abweichend von Anlage I Kapitel X Sachgebiet H Abschnitt III Nummer 11 des Einigungsvertrages vom 31. August 1990 (BGBl. 1990 II S. 885, 1096) tritt dieses Gesetz in dem in Artikel 3 des Einigungsvertrages genannten Gebiet am 1. Januar 1993 in Kraft.</w:t>
      </w:r>
    </w:p>
    <w:p>
      <w:r>
        <w:t xml:space="preserve">(2) Abweichend von Anlage II Kapitel X Sachgebiet H Abschnitt III Nummer 15 des Einigungsvertrages vom 31. August 1990 (BGBl. 1990 II S. 885, 1020) gilt § 12 der Verordnung über das Bestattungs- und Friedhofswesen vom 17. April 1980 (GBl. I Nummer 18 S. 159) nur bis zum 31. Dezember 1992.</w:t>
      </w:r>
    </w:p>
    <w:p>
      <w:r>
        <w:rPr>
          <w:color w:val="555555"/>
          <w:sz w:val="17"/>
        </w:rPr>
        <w:t xml:space="preserve">Zitiervorschlag: § 17 GräbG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https://recht.nulegal.eu/gesetze/Gr%C3%A4bG/17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