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GräbG — Sondervorschriften</w:t>
      </w:r>
    </w:p>
    <w:p>
      <w:r>
        <w:rPr>
          <w:color w:val="555555"/>
          <w:sz w:val="18"/>
        </w:rPr>
        <w:t xml:space="preserve">Gräbergesetz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ist auf Gräber nach § 1 nicht anzuwenden, wenn</w:t>
      </w:r>
    </w:p>
    <w:p>
      <w:pPr>
        <w:ind w:left="420"/>
      </w:pPr>
      <w:r>
        <w:t xml:space="preserve">1. der Tote in einer mehrstelligen Grabstätte (Wahl- oder Familiengrab) bestattet worden ist oder bestattet wird, in der bereits ein Toter beigesetzt ist oder noch beigesetzt werden kann, dessen Grab nicht unter § 1 fällt,</w:t>
      </w:r>
    </w:p>
    <w:p>
      <w:pPr>
        <w:ind w:left="420"/>
      </w:pPr>
      <w:r>
        <w:t xml:space="preserve">2. bei Verlegung des Grabes aus dem Ausland in das Inland bei Beisetzung außerhalb einer geschlossenen Begräbnisstätte für Gräber nach § 1 erfolgen soll oder die zuständige Behörde der Beisetzung in einer solchen Begräbnisstätte nicht zustimmt,</w:t>
      </w:r>
    </w:p>
    <w:p>
      <w:pPr>
        <w:ind w:left="420"/>
      </w:pPr>
      <w:r>
        <w:t xml:space="preserve">3. es sich um ein Grab handelt, dessen Erhaltung (§ 5 Absatz 3) Angehörige des Verstorbenen oder Dritte zeitweilig oder dauerhaft übernommen haben (privat gepflegtes Grab); eine Übernahme dieser Gräber in die öffentliche Obhut ist ausgeschlossen.</w:t>
      </w:r>
    </w:p>
    <w:p>
      <w:r>
        <w:rPr>
          <w:color w:val="555555"/>
          <w:sz w:val="17"/>
        </w:rPr>
        <w:t xml:space="preserve">Zitiervorschlag: § 16 GräbG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https://recht.nulegal.eu/gesetze/Gr%C3%A4bG/16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