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GräbG — Überleitungsvorschriften</w:t>
      </w:r>
    </w:p>
    <w:p>
      <w:r>
        <w:rPr>
          <w:color w:val="555555"/>
          <w:sz w:val="18"/>
        </w:rPr>
        <w:t xml:space="preserve">Gräbergesetz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Entscheidungen über die Festsetzung von Entschädigungsleistungen für Minderung des Nutzungswertes durch Belegung eines Grundstücks mit Gräbern nach § 1, die bis zum Inkrafttreten dieses Gesetzes ergangen sind, gelten als Entscheidungen nach § 3.</w:t>
      </w:r>
    </w:p>
    <w:p>
      <w:r>
        <w:rPr>
          <w:color w:val="555555"/>
          <w:sz w:val="17"/>
        </w:rPr>
        <w:t xml:space="preserve">Zitiervorschlag: § 13 GräbG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https://recht.nulegal.eu/gesetze/Gr%C3%A4bG/13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