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GräbG — Zuständigkeit</w:t>
      </w:r>
    </w:p>
    <w:p>
      <w:r>
        <w:rPr>
          <w:color w:val="555555"/>
          <w:sz w:val="18"/>
        </w:rPr>
        <w:t xml:space="preserve">Gräbergesetz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Aufgaben nach diesem Gesetz nehmen, soweit nichts anderes bestimmt ist, die nach Landesrecht zuständigen Stellen wahr.</w:t>
      </w:r>
    </w:p>
    <w:p>
      <w:r>
        <w:t xml:space="preserve">(2) Bei Ankauf eines Grundstücks nach § 10 Absatz 2 Nummer 2 ist das Grundstück von dem Land zu erwerben, in dem es liegt. Aus besonderen Gründen kann das Eigentum an dem Grundstück auf Gemeinden oder Gemeindeverbände als Friedhofsträger übertragen werden.</w:t>
      </w:r>
    </w:p>
    <w:p>
      <w:r>
        <w:rPr>
          <w:color w:val="555555"/>
          <w:sz w:val="17"/>
        </w:rPr>
        <w:t xml:space="preserve">Zitiervorschlag: § 12 GräbG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https://recht.nulegal.eu/gesetze/Gr%C3%A4bG/12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