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GräbG — Befreiung von Gebühren, Auslagen und Steuern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Amtshandlungen, die bei Durchführung dieses Gesetzes mit Ausnahme des § 7 erforderlich werden, werden Gebühren und Auslagen nicht erhoben. Dies gilt auch für Gerichtskosten, Beurkundungs- und Beglaubigungskosten nach dem Gerichts- und Notarkostengesetz.</w:t>
      </w:r>
    </w:p>
    <w:p>
      <w:r>
        <w:t xml:space="preserve">(2) Die Wahrnehmung der Aufgaben nach diesem Gesetz gilt nicht als gewerbliche Tätigkeit im Sinne des § 2 Absatz 3 des Umsatzsteuergesetzes.</w:t>
      </w:r>
    </w:p>
    <w:p>
      <w:r>
        <w:rPr>
          <w:color w:val="555555"/>
          <w:sz w:val="17"/>
        </w:rPr>
        <w:t xml:space="preserve">Zitiervorschlag: § 11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