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8 GoldSchmAusbV — Zwischenprüfung</w:t>
      </w:r>
    </w:p>
    <w:p>
      <w:r>
        <w:rPr>
          <w:color w:val="555555"/>
          <w:sz w:val="18"/>
        </w:rPr>
        <w:t xml:space="preserve">Goldschmied-Ausbildungsverordnung</w:t>
      </w:r>
    </w:p>
    <w:p>
      <w:r>
        <w:rPr>
          <w:color w:val="555555"/>
          <w:sz w:val="18"/>
        </w:rPr>
        <w:t xml:space="preserve">Historische Fassung: Stand 10.06.2019 bis 01.08.2025. Dies ist nicht die aktuelle Fassung.</w:t>
      </w:r>
    </w:p>
    <w:p>
      <w:r>
        <w:t xml:space="preserve">(1) Zur Ermittlung des Ausbildungsstandes ist eine Zwischenprüfung durchzuführen. Sie soll vor dem Ende des zweiten Ausbildungsjahres stattfinden.</w:t>
      </w:r>
    </w:p>
    <w:p>
      <w:r>
        <w:t xml:space="preserve">(2) Die Zwischenprüfung erstreckt sich auf die in der Anlage für das erste Ausbildungsjahr und die unter laufender Nummer 7 Buchstaben e und f, laufender Nummer 9 Buchstabe b Doppelbuchstabe aa, laufender Nummer 10 Buchstabe g, laufender Nummer 13 Buchstabe d, laufender Nummer 15 Buchstaben a bis c, laufender Nummer 16 und laufender Nummer 17 Buchstabe b für das zweite Ausbildungsjahr aufgeführten Fertigkeiten und Kenntnisse sowie auf den im Berufsschulunterricht entsprechend dem Rahmenlehrplan zu vermittelnden Lehrstoff, soweit er für die Berufsausbildung wesentlich ist.</w:t>
      </w:r>
    </w:p>
    <w:p>
      <w:r>
        <w:t xml:space="preserve">(3) Der Prüfling soll in insgesamt höchstens sieben Stunden ein Prüfungsstück anfertigen. Hierfür kommt insbesondere in Betracht: Anfertigen eines Werkstückes nach vorgegebener Zeichnung unter Anwendung von Gestaltungskriterien sowie von Umform-, Trenn-, Abtrag- und Fügetechniken. Es können vorgefertigte Teile verwendet werden.</w:t>
      </w:r>
    </w:p>
    <w:p>
      <w:r>
        <w:t xml:space="preserve">(4) Der Prüfling soll in insgesamt höchstens 180 Minuten Aufgaben, die sich auf praxisbezogene Fälle beziehen sollen, aus folgenden Gebieten schriftlich lösen:</w:t>
      </w:r>
    </w:p>
    <w:p>
      <w:pPr>
        <w:ind w:left="420"/>
      </w:pPr>
      <w:r>
        <w:t xml:space="preserve">1. Aufbau und Organisation des Ausbildungsbetriebes,</w:t>
      </w:r>
    </w:p>
    <w:p>
      <w:pPr>
        <w:ind w:left="420"/>
      </w:pPr>
      <w:r>
        <w:t xml:space="preserve">2. Arbeits- und Tarifrecht, Arbeitsschutz,</w:t>
      </w:r>
    </w:p>
    <w:p>
      <w:pPr>
        <w:ind w:left="420"/>
      </w:pPr>
      <w:r>
        <w:t xml:space="preserve">3. Arbeitssicherheit, Umweltschutz und rationelle Energieverwendung,</w:t>
      </w:r>
    </w:p>
    <w:p>
      <w:pPr>
        <w:ind w:left="420"/>
      </w:pPr>
      <w:r>
        <w:t xml:space="preserve">4. Inbetriebnehmen von Maschinen sowie Warten von Betriebsmitteln,</w:t>
      </w:r>
    </w:p>
    <w:p>
      <w:pPr>
        <w:ind w:left="420"/>
      </w:pPr>
      <w:r>
        <w:t xml:space="preserve">5. Auswählen, Vorbereiten, Handhaben und Lagern von Werk- und Hilfsstoffen,</w:t>
      </w:r>
    </w:p>
    <w:p>
      <w:pPr>
        <w:ind w:left="420"/>
      </w:pPr>
      <w:r>
        <w:t xml:space="preserve">6. Gestalten und Darstellen von Schmuck und Gerät,</w:t>
      </w:r>
    </w:p>
    <w:p>
      <w:pPr>
        <w:ind w:left="420"/>
      </w:pPr>
      <w:r>
        <w:t xml:space="preserve">7. Umformen von Metallen,</w:t>
      </w:r>
    </w:p>
    <w:p>
      <w:pPr>
        <w:ind w:left="420"/>
      </w:pPr>
      <w:r>
        <w:t xml:space="preserve">8. Trennen und Abtragen,</w:t>
      </w:r>
    </w:p>
    <w:p>
      <w:pPr>
        <w:ind w:left="420"/>
      </w:pPr>
      <w:r>
        <w:t xml:space="preserve">9. Fügen,</w:t>
      </w:r>
    </w:p>
    <w:p>
      <w:pPr>
        <w:ind w:left="420"/>
      </w:pPr>
      <w:r>
        <w:t xml:space="preserve">10. Legieren und Schmelzen.</w:t>
      </w:r>
    </w:p>
    <w:p>
      <w:r>
        <w:t xml:space="preserve">(5) Die in Absatz 4 genannte Prüfungsdauer kann insbesondere unterschritten werden, soweit die schriftliche Prüfung in programmierter Form durchgeführt wird.</w:t>
      </w:r>
    </w:p>
    <w:p>
      <w:r>
        <w:rPr>
          <w:color w:val="555555"/>
          <w:sz w:val="17"/>
        </w:rPr>
        <w:t xml:space="preserve">Zitiervorschlag: § 8 GoldSchmAusbV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https://recht.nulegal.eu/gesetze/GoldSchmAusbV/8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