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GoldSchmAusbV — Ausbildungsplan</w:t>
      </w:r>
    </w:p>
    <w:p>
      <w:r>
        <w:rPr>
          <w:color w:val="555555"/>
          <w:sz w:val="18"/>
        </w:rPr>
        <w:t xml:space="preserve">Goldschmied-Ausbildungsverordnung</w:t>
      </w:r>
    </w:p>
    <w:p>
      <w:r>
        <w:rPr>
          <w:color w:val="555555"/>
          <w:sz w:val="18"/>
        </w:rPr>
        <w:t xml:space="preserve">Historische Fassung: Stand 10.06.2019 bis 01.08.2025. Dies ist nicht die aktuelle Fassung.</w:t>
      </w:r>
    </w:p>
    <w:p>
      <w:r>
        <w:t xml:space="preserve">Der Ausbildende hat unter Zugrundelegung des Ausbildungsrahmenplans für den Auszubildenden einen Ausbildungsplan zu erstellen.</w:t>
      </w:r>
    </w:p>
    <w:p>
      <w:r>
        <w:rPr>
          <w:color w:val="555555"/>
          <w:sz w:val="17"/>
        </w:rPr>
        <w:t xml:space="preserve">Zitiervorschlag: § 6 GoldSchmAusbV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https://recht.nulegal.eu/gesetze/GoldSchmAusbV/6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