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GoldSchmAusbV — Aufhebung von Vorschriften</w:t>
      </w:r>
    </w:p>
    <w:p>
      <w:r>
        <w:rPr>
          <w:color w:val="555555"/>
          <w:sz w:val="18"/>
        </w:rPr>
        <w:t xml:space="preserve">Goldschmied-Ausbildungsverordnung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Die bisher festgelegten Berufsbilder, Berufsausbildungspläne und Prüfungsanforderungen für die Lehrberufe, Anlernberufe und vergleichbar geregelten Ausbildungsberufe, die in dieser Verordnung geregelt sind, insbesondere für die Ausbildungsberufe Goldschmied/Goldschmiedin in Handwerk und Industrie sowie Juwelengoldschmied/Juwelengoldschmiedin in der Industrie, sind vorbehaltlich des § 11 nicht mehr anzuwenden.</w:t>
      </w:r>
    </w:p>
    <w:p>
      <w:r>
        <w:rPr>
          <w:color w:val="555555"/>
          <w:sz w:val="17"/>
        </w:rPr>
        <w:t xml:space="preserve">Zitiervorschlag: § 10 GoldSchmAusbV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https://recht.nulegal.eu/gesetze/GoldSchmAusbV/10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