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GoetheMedStat 2003</w:t>
      </w:r>
    </w:p>
    <w:p>
      <w:r>
        <w:rPr>
          <w:color w:val="555555"/>
          <w:sz w:val="18"/>
        </w:rPr>
        <w:t xml:space="preserve">Statut für die Verleihung der Goethe-Medaille des Goethe-Instituts e. V. (gestiftet 1954)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der Regel wird die Goethe-Medaille verliehen für besondere wissenschaftliche oder literarische, didaktische, organisatorische Leistungen, die der Vermittlung zwischen deutscher Kultur und der Kultur der Partnerländer zugute kommen.</w:t>
      </w:r>
    </w:p>
    <w:p>
      <w:r>
        <w:rPr>
          <w:color w:val="555555"/>
          <w:sz w:val="17"/>
        </w:rPr>
        <w:t xml:space="preserve">Zitiervorschlag: Art 2 GoetheMedStat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https://recht.nulegal.eu/gesetze/GoetheMedStat%202003/2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