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GoSiAusbV — Gegenstand der Berufsausbildung und Ausbildungsrahmenplan</w:t>
      </w:r>
    </w:p>
    <w:p>
      <w:r>
        <w:rPr>
          <w:color w:val="555555"/>
          <w:sz w:val="18"/>
        </w:rPr>
        <w:t xml:space="preserve">Gold- und Silberschmied-Ausbildungsverordnung</w:t>
      </w:r>
    </w:p>
    <w:p>
      <w:r>
        <w:rPr>
          <w:color w:val="555555"/>
          <w:sz w:val="18"/>
        </w:rPr>
        <w:t xml:space="preserve">Stand: 01.08.2025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selbstständiges Planen, Durchführen und Kontrollieren bei der Ausübung der beruflichen Aufgaben ein.</w:t>
      </w:r>
    </w:p>
    <w:p>
      <w:r>
        <w:rPr>
          <w:color w:val="555555"/>
          <w:sz w:val="17"/>
        </w:rPr>
        <w:t xml:space="preserve">Zitiervorschlag: § 4 GoSiAusbV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https://recht.nulegal.eu/gesetze/GoSiAusbV/4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