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GoSiAusbV — Begriffsbestimmungen</w:t>
      </w:r>
    </w:p>
    <w:p>
      <w:r>
        <w:rPr>
          <w:color w:val="555555"/>
          <w:sz w:val="18"/>
        </w:rPr>
        <w:t xml:space="preserve">Gold- und Silberschmied-Ausbildungsverordnung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Im Sinne dieser Verordnung ist oder sind</w:t>
      </w:r>
    </w:p>
    <w:p>
      <w:pPr>
        <w:ind w:left="420"/>
      </w:pPr>
      <w:r>
        <w:t xml:space="preserve">1. Schmuck, aus Metallen bestehende Gegenstände, die zur Verschönerung oder zur Zierde am Körper getragen werden,</w:t>
      </w:r>
    </w:p>
    <w:p>
      <w:pPr>
        <w:ind w:left="420"/>
      </w:pPr>
      <w:r>
        <w:t xml:space="preserve">2. Juwelenschmuck, Schmuck, der mit geschliffenen Edelsteinen dominierend verziert wird und dessen Fassung aus Metall besteht,</w:t>
      </w:r>
    </w:p>
    <w:p>
      <w:pPr>
        <w:ind w:left="420"/>
      </w:pPr>
      <w:r>
        <w:t xml:space="preserve">3. Kette, Schmuck, der aus einer Reihe von beweglich ineinandergefügten oder mit Gelenken verbundenen Metallgliedern besteht,</w:t>
      </w:r>
    </w:p>
    <w:p>
      <w:pPr>
        <w:ind w:left="420"/>
      </w:pPr>
      <w:r>
        <w:t xml:space="preserve">4. Gerät, Korpusware aus Metallen, die der Verwendung im sakralen oder profanen Bereich dient,</w:t>
      </w:r>
    </w:p>
    <w:p>
      <w:pPr>
        <w:ind w:left="420"/>
      </w:pPr>
      <w:r>
        <w:t xml:space="preserve">5. Objekt, aus Metallen bestehende Gegenstände, die nicht am Körper getragen werden und der Zierde dienen.</w:t>
      </w:r>
    </w:p>
    <w:p>
      <w:r>
        <w:rPr>
          <w:color w:val="555555"/>
          <w:sz w:val="17"/>
        </w:rPr>
        <w:t xml:space="preserve">Zitiervorschlag: § 3 GoSiAusbV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https://recht.nulegal.eu/gesetze/GoSiAusbV/3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