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GntVDDVCSVDV — Anerkennung von Studienleistungen und Prüfungsleistungen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Auf Antrag der oder des Studierenden können folgende Leistungen anerkannt werden:</w:t>
      </w:r>
    </w:p>
    <w:p>
      <w:pPr>
        <w:ind w:left="420"/>
      </w:pPr>
      <w:r>
        <w:t xml:space="preserve">1. Studienleistungen und Prüfungsleistungen aus anderen Studiengängen staatlicher Hochschulen oder staatlich anerkannter Hochschulen sowie</w:t>
      </w:r>
    </w:p>
    <w:p>
      <w:pPr>
        <w:ind w:left="420"/>
      </w:pPr>
      <w:r>
        <w:t xml:space="preserve">2. Prüfungsleistungen, die erfolgreich abgelegt worden sind</w:t>
      </w:r>
    </w:p>
    <w:p>
      <w:pPr>
        <w:ind w:left="780"/>
      </w:pPr>
      <w:r>
        <w:t xml:space="preserve">a) an einer öffentlichen Bildungseinrichtung,</w:t>
      </w:r>
    </w:p>
    <w:p>
      <w:pPr>
        <w:ind w:left="780"/>
      </w:pPr>
      <w:r>
        <w:t xml:space="preserve">b) an einer staatlich anerkannten Bildungseinrichtung oder</w:t>
      </w:r>
    </w:p>
    <w:p>
      <w:pPr>
        <w:ind w:left="780"/>
      </w:pPr>
      <w:r>
        <w:t xml:space="preserve">c) vor einem staatlichen Prüfungsausschuss.</w:t>
      </w:r>
    </w:p>
    <w:p>
      <w:r>
        <w:t xml:space="preserve">(2) Mit dem Antrag auf Anerkennung von Studien- oder Prüfungsleistungen hat die oder der Studierende die für die Anerkennung erforderlichen Unterlagen vorzulegen.</w:t>
      </w:r>
    </w:p>
    <w:p>
      <w:r>
        <w:t xml:space="preserve">(3) Die Hochschule erkennt die Leistungen an, sofern hinsichtlich der erworbenen Kompetenzen kein wesentlicher Unterschied zu den Leistungen besteht, die ersetzt werden. Wesentliche Unterschiede führen zur Nichtanerkennung.</w:t>
      </w:r>
    </w:p>
    <w:p>
      <w:r>
        <w:t xml:space="preserve">(4) Das Nähere zur Anerkennung von Studien- und Prüfungsleistungen, insbesondere zur Übernahme der Bewertung oder zur Zuordnung einer Bewertung, regelt die Hochschule in einer Richtlinie.</w:t>
      </w:r>
    </w:p>
    <w:p>
      <w:r>
        <w:rPr>
          <w:color w:val="555555"/>
          <w:sz w:val="17"/>
        </w:rPr>
        <w:t xml:space="preserve">Zitiervorschlag: § 80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https://recht.nulegal.eu/gesetze/GntVDDVCSVDV/80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