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GntVDDVCSVDV — Zweck der Präsentation und der Disputation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des Bundes – Fachrichtung digitale Verwaltung und Cyber-Sicherheit –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Durch die Präsentation und die Disputation sollen die Studierenden nachweisen, dass sie fundiertes Wissen auf dem bearbeiteten Themengebiet besitzen und dass sie fähig sind,</w:t>
      </w:r>
    </w:p>
    <w:p>
      <w:pPr>
        <w:ind w:left="420"/>
      </w:pPr>
      <w:r>
        <w:t xml:space="preserve">1. die Wahl der angewendeten Methoden zu begründen,</w:t>
      </w:r>
    </w:p>
    <w:p>
      <w:pPr>
        <w:ind w:left="420"/>
      </w:pPr>
      <w:r>
        <w:t xml:space="preserve">2. die erzielten Ergebnisse zu erläutern und</w:t>
      </w:r>
    </w:p>
    <w:p>
      <w:pPr>
        <w:ind w:left="420"/>
      </w:pPr>
      <w:r>
        <w:t xml:space="preserve">3. sich mit Einwänden auseinanderzusetzen.</w:t>
      </w:r>
    </w:p>
    <w:p>
      <w:r>
        <w:rPr>
          <w:color w:val="555555"/>
          <w:sz w:val="17"/>
        </w:rPr>
        <w:t xml:space="preserve">Zitiervorschlag: § 67 GntVDDVCSVDV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https://recht.nulegal.eu/gesetze/GntVDDVCSVDV/67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