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GntVDDVCSVDV — Erholungsurlaub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Zeiten des Erholungsurlaubs bestimmt</w:t>
      </w:r>
    </w:p>
    <w:p>
      <w:pPr>
        <w:ind w:left="420"/>
      </w:pPr>
      <w:r>
        <w:t xml:space="preserve">1. während der Fachstudien die Hochschule,</w:t>
      </w:r>
    </w:p>
    <w:p>
      <w:pPr>
        <w:ind w:left="420"/>
      </w:pPr>
      <w:r>
        <w:t xml:space="preserve">2. während der berufspraktischen Studienzeiten die Ausbildungsbehörde.</w:t>
      </w:r>
    </w:p>
    <w:p>
      <w:r>
        <w:rPr>
          <w:color w:val="555555"/>
          <w:sz w:val="17"/>
        </w:rPr>
        <w:t xml:space="preserve">Zitiervorschlag: § 6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