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GntVDDVCSVDV — Spezialmodule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Als Spezialmodule sind Fortbildungsveranstaltungen oder andere Bildungsmaßnahmen zu absolvieren.</w:t>
      </w:r>
    </w:p>
    <w:p>
      <w:r>
        <w:t xml:space="preserve">(2) Spezialmodule sind während der berufspraktischen Studienzeiten I und II im Umfang von insgesamt mindestens 15 Arbeitstagen zu absolvieren.</w:t>
      </w:r>
    </w:p>
    <w:p>
      <w:r>
        <w:t xml:space="preserve">(3) Die Inhalte der Spezialmodule müssen einen Bezug zu den Aufgaben aufweisen, die der oder dem Studierenden während des jeweiligen Praktikums übertragen sind.</w:t>
      </w:r>
    </w:p>
    <w:p>
      <w:r>
        <w:rPr>
          <w:color w:val="555555"/>
          <w:sz w:val="17"/>
        </w:rPr>
        <w:t xml:space="preserve">Zitiervorschlag: § 31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