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GntVDDVCSVDV — Module des Hauptstudiums II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Im Hauptstudium II sind Module aus folgenden Fachgebieten zu absolvieren:</w:t>
      </w:r>
    </w:p>
    <w:p>
      <w:pPr>
        <w:ind w:left="420"/>
      </w:pPr>
      <w:r>
        <w:t xml:space="preserve">1. in der Vertiefungsrichtung „Digital Administration“</w:t>
      </w:r>
    </w:p>
    <w:p>
      <w:pPr>
        <w:ind w:left="780"/>
      </w:pPr>
      <w:r>
        <w:t xml:space="preserve">a) IT-gestütztes Verwaltungsmanagement und IT-Recht,</w:t>
      </w:r>
    </w:p>
    <w:p>
      <w:pPr>
        <w:ind w:left="780"/>
      </w:pPr>
      <w:r>
        <w:t xml:space="preserve">b) praktische Informatik,</w:t>
      </w:r>
    </w:p>
    <w:p>
      <w:pPr>
        <w:ind w:left="780"/>
      </w:pPr>
      <w:r>
        <w:t xml:space="preserve">c) angewandte Informatik und</w:t>
      </w:r>
    </w:p>
    <w:p>
      <w:pPr>
        <w:ind w:left="420"/>
      </w:pPr>
      <w:r>
        <w:t xml:space="preserve">2. in der Vertiefungsrichtung „Cyber Security“</w:t>
      </w:r>
    </w:p>
    <w:p>
      <w:pPr>
        <w:ind w:left="780"/>
      </w:pPr>
      <w:r>
        <w:t xml:space="preserve">a) rechtliche Grundlagen der Informationssicherheit,</w:t>
      </w:r>
    </w:p>
    <w:p>
      <w:pPr>
        <w:ind w:left="780"/>
      </w:pPr>
      <w:r>
        <w:t xml:space="preserve">b) technische Informatik,</w:t>
      </w:r>
    </w:p>
    <w:p>
      <w:pPr>
        <w:ind w:left="780"/>
      </w:pPr>
      <w:r>
        <w:t xml:space="preserve">c) praktische Informatik.</w:t>
      </w:r>
    </w:p>
    <w:p>
      <w:r>
        <w:rPr>
          <w:color w:val="555555"/>
          <w:sz w:val="17"/>
        </w:rPr>
        <w:t xml:space="preserve">Zitiervorschlag: § 28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