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GntVDDVCSVDV — Bestehen des mündlichen Teils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mündliche Teil des Auswahlverfahrens ist bestanden, wenn im halbstrukturierten Interview und im Fall der Anwendung weiterer Auswahlinstrumente bei den weiteren Auswahlinstrumenten jeweils die Mindestpunktzahl erreicht worden ist.</w:t>
      </w:r>
    </w:p>
    <w:p>
      <w:r>
        <w:t xml:space="preserve">(2) Die Auswahlkommission ermittelt für jede Bewerberin und jeden Bewerber, die oder der am mündlichen Teil des Auswahlverfahrens teilgenommen hat, das Ergebnis des mündlichen Teils des Auswahlverfahrens.</w:t>
      </w:r>
    </w:p>
    <w:p>
      <w:r>
        <w:rPr>
          <w:color w:val="555555"/>
          <w:sz w:val="17"/>
        </w:rPr>
        <w:t xml:space="preserve">Zitiervorschlag: § 19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