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GntVDDVCSVDV — Schriftlicher Teil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schriftlichen Teil des Auswahlverfahrens werden insbesondere kognitive Fähigkeiten und das Vorhandensein eines informationstechnischen Grundverständnisses geprüft.</w:t>
      </w:r>
    </w:p>
    <w:p>
      <w:r>
        <w:t xml:space="preserve">(2) Der schriftliche Teil besteht aus einem Leistungstest.</w:t>
      </w:r>
    </w:p>
    <w:p>
      <w:r>
        <w:t xml:space="preserve">(3) Zusätzlich zu dem Leistungstest nach Absatz 2 können höchstens zwei weitere Auswahlinstrumente angewendet werden. Weitere Auswahlinstrumente können sein:</w:t>
      </w:r>
    </w:p>
    <w:p>
      <w:pPr>
        <w:ind w:left="420"/>
      </w:pPr>
      <w:r>
        <w:t xml:space="preserve">1. ein weiterer Leistungstest,</w:t>
      </w:r>
    </w:p>
    <w:p>
      <w:pPr>
        <w:ind w:left="420"/>
      </w:pPr>
      <w:r>
        <w:t xml:space="preserve">2. ein Persönlichkeitstest oder</w:t>
      </w:r>
    </w:p>
    <w:p>
      <w:pPr>
        <w:ind w:left="420"/>
      </w:pPr>
      <w:r>
        <w:t xml:space="preserve">3. Simulationsaufgaben.</w:t>
      </w:r>
    </w:p>
    <w:p>
      <w:r>
        <w:t xml:space="preserve">(4) Mit der Durchführung des schriftlichen Teils können Dritte betraut werden.</w:t>
      </w:r>
    </w:p>
    <w:p>
      <w:r>
        <w:t xml:space="preserve">(5) Falls im schriftlichen Teil weitere Auswahlinstrumente angewendet werden, kann von der Teilnahme ausgeschlossen werden, wer in dem Leistungstest nach Absatz 2 nicht die Mindestpunktzahl erreicht hat. Dies gilt nicht für schwerbehinderte Bewerberinnen und Bewerber und gleichgestellte behinderte Bewerberinnen und Bewerber.</w:t>
      </w:r>
    </w:p>
    <w:p>
      <w:r>
        <w:rPr>
          <w:color w:val="555555"/>
          <w:sz w:val="17"/>
        </w:rPr>
        <w:t xml:space="preserve">Zitiervorschlag: § 15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