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GntVDDVCSVDV — Festlegungen der Hochschule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Behörde, die das Auswahlverfahren durchführt, legt fest:</w:t>
      </w:r>
    </w:p>
    <w:p>
      <w:pPr>
        <w:ind w:left="420"/>
      </w:pPr>
      <w:r>
        <w:t xml:space="preserve">1. die zu bearbeitenden Aufgaben,</w:t>
      </w:r>
    </w:p>
    <w:p>
      <w:pPr>
        <w:ind w:left="420"/>
      </w:pPr>
      <w:r>
        <w:t xml:space="preserve">2. den Ablauf und die Dauer der Teile,</w:t>
      </w:r>
    </w:p>
    <w:p>
      <w:pPr>
        <w:ind w:left="420"/>
      </w:pPr>
      <w:r>
        <w:t xml:space="preserve">3. falls der schriftliche Teil aus mehreren Aufgaben besteht: ob von der Möglichkeit Gebrauch gemacht wird, Bewerberinnen und Bewerber, die den Leistungstest nach § 15 Absatz 2 nicht bestehen, von der weiteren Teilnahme am schriftlichen Teil auszuschließen,</w:t>
      </w:r>
    </w:p>
    <w:p>
      <w:pPr>
        <w:ind w:left="420"/>
      </w:pPr>
      <w:r>
        <w:t xml:space="preserve">4. die Bewertungs- und Gewichtungssystematik sowie</w:t>
      </w:r>
    </w:p>
    <w:p>
      <w:pPr>
        <w:ind w:left="420"/>
      </w:pPr>
      <w:r>
        <w:t xml:space="preserve">5. die für das Bestehen erforderlichen Punktzahlen (Mindestpunktzahlen).</w:t>
      </w:r>
    </w:p>
    <w:p>
      <w:r>
        <w:t xml:space="preserve">(2) Die Festlegung erfolgt vor dem Beginn des Auswahlverfahrens oder vor jedem Teil des Auswahlverfahrens.</w:t>
      </w:r>
    </w:p>
    <w:p>
      <w:r>
        <w:rPr>
          <w:color w:val="555555"/>
          <w:sz w:val="17"/>
        </w:rPr>
        <w:t xml:space="preserve">Zitiervorschlag: § 14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