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GntDSVVDV 2024 — Erholungsurlaub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Sozialversicherung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Die Zeiten des Erholungsurlaubs bestimmt</w:t>
      </w:r>
    </w:p>
    <w:p>
      <w:pPr>
        <w:ind w:left="420"/>
      </w:pPr>
      <w:r>
        <w:t xml:space="preserve">1. während der Fachstudien der Fachbereich Sozialversicherung und</w:t>
      </w:r>
    </w:p>
    <w:p>
      <w:pPr>
        <w:ind w:left="420"/>
      </w:pPr>
      <w:r>
        <w:t xml:space="preserve">2. während der Praktika die Einstellungsbehörde in Abstimmung mit dem Fachbereich Sozialversicherung.</w:t>
      </w:r>
    </w:p>
    <w:p>
      <w:r>
        <w:rPr>
          <w:color w:val="555555"/>
          <w:sz w:val="17"/>
        </w:rPr>
        <w:t xml:space="preserve">Zitiervorschlag: § 5 GntDSVVDV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https://recht.nulegal.eu/gesetze/GntDSVVDV%202024/5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GntDSVVDV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