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GntDLSVVDV — Inkrafttreten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Diese Verordnung tritt vorbehaltlich des Absatzes 2 mit Wirkung vom 1. Oktober 2023 in Kraft.</w:t>
      </w:r>
    </w:p>
    <w:p>
      <w:r>
        <w:t xml:space="preserve">(2) Abschnitt 2 dieser Verordnung tritt am 1. Oktober 2024 in Kraft.</w:t>
      </w:r>
    </w:p>
    <w:p>
      <w:r>
        <w:rPr>
          <w:color w:val="555555"/>
          <w:sz w:val="17"/>
        </w:rPr>
        <w:t xml:space="preserve">Zitiervorschlag: § 53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