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GntDLSVVDV — Schriftlicher Teil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Die Prüfungsaufgaben des schriftlichen Teils bestimmt das Prüfungsamt des Fachbereichs Landwirtschaftliche Sozialversicherung auf Vorschlag der Dienstbehörde. Der Fachbereich Landwirtschaftliche Sozialversicherung wird bei der Erarbeitung beteiligt.</w:t>
      </w:r>
    </w:p>
    <w:p>
      <w:r>
        <w:t xml:space="preserve">(2) Im schriftlichen Teil sind je eine schriftliche Aufsichtsarbeit aus den Studieninhalten des Hauptstudiums mit folgenden Aufgabenschwerpunkten zu erstellen:</w:t>
      </w:r>
    </w:p>
    <w:p>
      <w:pPr>
        <w:ind w:left="420"/>
      </w:pPr>
      <w:r>
        <w:t xml:space="preserve">1. Kreis der versicherten Personen und Mitgliedschaft in der landwirtschaftlichen Sozialversicherung,</w:t>
      </w:r>
    </w:p>
    <w:p>
      <w:pPr>
        <w:ind w:left="420"/>
      </w:pPr>
      <w:r>
        <w:t xml:space="preserve">2. Leistungen der landwirtschaftlichen Unfallversicherung,</w:t>
      </w:r>
    </w:p>
    <w:p>
      <w:pPr>
        <w:ind w:left="420"/>
      </w:pPr>
      <w:r>
        <w:t xml:space="preserve">3. Leistungen in der Alterssicherung der Landwirte und Zusatzversorgung und Qualifizierung der Arbeitnehmer in der Land- und Forstwirtschaft,</w:t>
      </w:r>
    </w:p>
    <w:p>
      <w:pPr>
        <w:ind w:left="420"/>
      </w:pPr>
      <w:r>
        <w:t xml:space="preserve">4. Leistungen der landwirtschaftlichen Krankenversicherung und Pflegeversicherung,</w:t>
      </w:r>
    </w:p>
    <w:p>
      <w:pPr>
        <w:ind w:left="420"/>
      </w:pPr>
      <w:r>
        <w:t xml:space="preserve">5. Finanzierung und Beiträge der landwirtschaftlichen Sozialversicherung und</w:t>
      </w:r>
    </w:p>
    <w:p>
      <w:pPr>
        <w:ind w:left="420"/>
      </w:pPr>
      <w:r>
        <w:t xml:space="preserve">6. Verwaltungsverfahren der Dienstbehörde und bereichsübergreifendes Leistungsrecht der landwirtschaftlichen Sozialversicherung.</w:t>
      </w:r>
    </w:p>
    <w:p>
      <w:r>
        <w:t xml:space="preserve">(3) Die übrigen Studieninhalte des Hauptstudiums sind bei der Aufgabenstellung angemessen zu berücksichtigen.</w:t>
      </w:r>
    </w:p>
    <w:p>
      <w:r>
        <w:t xml:space="preserve">(4) Für die Bearbeitung ist eine Zeit von jeweils vier Zeitstunden anzusetzen.</w:t>
      </w:r>
    </w:p>
    <w:p>
      <w:r>
        <w:rPr>
          <w:color w:val="555555"/>
          <w:sz w:val="17"/>
        </w:rPr>
        <w:t xml:space="preserve">Zitiervorschlag: § 45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