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GntDBwVVDV — Anrechnung von nicht an einer Hochschule erworbenen Kenntnissen und Fähigkeiten</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Kenntnisse und Fähigkeiten, die nicht an einer Hochschule erworben worden sind, können höchstens bis zu 50 Prozent der Gesamtstudienleistung angerechnet werden, wenn sie nach Inhalt und Niveau gleichwertig mit dem Teil des Studiums sind, der ersetzt werden soll.</w:t>
      </w:r>
    </w:p>
    <w:p>
      <w:r>
        <w:t xml:space="preserve">(2) Angerechnet werden können Module oder Teilmodule. Sie können auch dann angerechnet werden, wenn sie weder mit Rangpunkten noch mit einer Note bewertet worden sind.</w:t>
      </w:r>
    </w:p>
    <w:p>
      <w:r>
        <w:t xml:space="preserve">(3) Die Studierenden haben die für die Anrechnung erforderlichen Unterlagen vorzulegen.</w:t>
      </w:r>
    </w:p>
    <w:p>
      <w:r>
        <w:rPr>
          <w:color w:val="555555"/>
          <w:sz w:val="17"/>
        </w:rPr>
        <w:t xml:space="preserve">Zitiervorschlag: § 61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