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GntDBwVVDV — Anerkennung von Studien- und Prüfungsleistungen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23.07.2024 (konsolidierte Textfassung, kein amtliches Inkrafttretensdatum)</w:t>
      </w:r>
    </w:p>
    <w:p>
      <w:r>
        <w:t xml:space="preserve">(1) Auf Antrag werden Studien- und Prüfungsleistungen, die an anderen staatlichen oder staatlich anerkannten Hochschulen oder Berufsakademien erbracht worden sind, anerkannt, wenn hinsichtlich der erworbenen Kompetenzen kein wesentlicher Unterschied zu den Studien- und Prüfungsleistungen besteht, die im Studiengang „Bachelor of Public Administration“ ersetzt werden.</w:t>
      </w:r>
    </w:p>
    <w:p>
      <w:r>
        <w:t xml:space="preserve">(2) Über die Anerkennung entscheidet das Prüfungsamt der Hochschule.</w:t>
      </w:r>
    </w:p>
    <w:p>
      <w:r>
        <w:t xml:space="preserve">(3) Die Studierenden haben die für die Anerkennung erforderlichen Unterlagen vorzulegen.</w:t>
      </w:r>
    </w:p>
    <w:p>
      <w:r>
        <w:rPr>
          <w:color w:val="555555"/>
          <w:sz w:val="17"/>
        </w:rPr>
        <w:t xml:space="preserve">Zitiervorschlag: § 60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