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GntDBwVVDV — Erholungsurlaub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Zeiten des Erholungsurlaubs bestimmt</w:t>
      </w:r>
    </w:p>
    <w:p>
      <w:pPr>
        <w:ind w:left="420"/>
      </w:pPr>
      <w:r>
        <w:t xml:space="preserve">1. während der Fachmodule die Hochschule und</w:t>
      </w:r>
    </w:p>
    <w:p>
      <w:pPr>
        <w:ind w:left="420"/>
      </w:pPr>
      <w:r>
        <w:t xml:space="preserve">2. während der Praxismodule die Einstellungsbehörde im Benehmen mit der Hochschule.</w:t>
      </w:r>
    </w:p>
    <w:p>
      <w:r>
        <w:rPr>
          <w:color w:val="555555"/>
          <w:sz w:val="17"/>
        </w:rPr>
        <w:t xml:space="preserve">Zitiervorschlag: § 6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