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GntDBwVVDV — Nachteilsausgleich</w:t>
      </w:r>
    </w:p>
    <w:p>
      <w:r>
        <w:rPr>
          <w:color w:val="555555"/>
          <w:sz w:val="18"/>
        </w:rPr>
        <w:t xml:space="preserve">Verordnung über den Vorbereitungsdienst für den gehobenen nichttechnischen Verwaltungsdienst in der Bundeswehrverwaltung</w:t>
      </w:r>
    </w:p>
    <w:p>
      <w:r>
        <w:rPr>
          <w:color w:val="555555"/>
          <w:sz w:val="18"/>
        </w:rPr>
        <w:t xml:space="preserve">Stand: 23.07.2024 (konsolidierte Textfassung, kein amtliches Inkrafttretensdatum)</w:t>
      </w:r>
    </w:p>
    <w:p>
      <w:r>
        <w:t xml:space="preserve">(1) Menschen mit Beeinträchtigungen, die die Umsetzung der nachzuweisenden Kenntnisse einschränken, werden im Auswahlverfahren und bei Prüfungen auf Antrag angemessene Erleichterungen gewährt. Darauf sind sie vor dem Auswahlverfahren und vor den Prüfungen hinzuweisen.</w:t>
      </w:r>
    </w:p>
    <w:p>
      <w:r>
        <w:t xml:space="preserve">(2) Der Nachteilsausgleich darf nicht dazu führen, dass im Auswahlverfahren und in den Prüfungen die inhaltlichen Anforderungen herabgesetzt werden.</w:t>
      </w:r>
    </w:p>
    <w:p>
      <w:r>
        <w:t xml:space="preserve">(3) Über die Gewährung eines Nachteilsausgleichs entscheidet</w:t>
      </w:r>
    </w:p>
    <w:p>
      <w:pPr>
        <w:ind w:left="420"/>
      </w:pPr>
      <w:r>
        <w:t xml:space="preserve">1. im Auswahlverfahren die Einstellungsbehörde,</w:t>
      </w:r>
    </w:p>
    <w:p>
      <w:pPr>
        <w:ind w:left="420"/>
      </w:pPr>
      <w:r>
        <w:t xml:space="preserve">2. bei den Prüfungen im Studium das Prüfungsamt der Hochschule und</w:t>
      </w:r>
    </w:p>
    <w:p>
      <w:pPr>
        <w:ind w:left="420"/>
      </w:pPr>
      <w:r>
        <w:t xml:space="preserve">3. bei den Prüfungen in den Praxismodulen das Prüfungsamt der Hochschule im Benehmen mit der Ausbildungsstelle.</w:t>
      </w:r>
    </w:p>
    <w:p>
      <w:r>
        <w:rPr>
          <w:color w:val="555555"/>
          <w:sz w:val="17"/>
        </w:rPr>
        <w:t xml:space="preserve">Zitiervorschlag: § 5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