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GntDBwVVDV — Bewertung und Bestehen der Verteidigung der Bachelorthesis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Folgende Teile der Verteidigung der Bachelorthesis werden gesondert bewertet:</w:t>
      </w:r>
    </w:p>
    <w:p>
      <w:pPr>
        <w:ind w:left="420"/>
      </w:pPr>
      <w:r>
        <w:t xml:space="preserve">1. die Präsentation der Bachelorthesis und</w:t>
      </w:r>
    </w:p>
    <w:p>
      <w:pPr>
        <w:ind w:left="420"/>
      </w:pPr>
      <w:r>
        <w:t xml:space="preserve">2. das wissenschaftliche Gespräch zusammen mit der fachbezogenen mündlichen Prüfung.</w:t>
      </w:r>
    </w:p>
    <w:p>
      <w:r>
        <w:t xml:space="preserve">(2) Im Anschluss wird die Rangpunktzahl der Verteidigung der Bachelorthesis berechnet. In die Rangpunktzahl gehen die Bewertungen mit folgender Gewichtung ein:</w:t>
      </w:r>
    </w:p>
    <w:p>
      <w:pPr>
        <w:ind w:left="420"/>
      </w:pPr>
      <w:r>
        <w:t xml:space="preserve">1. die Bewertung der Präsentation mit 30 Prozent und</w:t>
      </w:r>
    </w:p>
    <w:p>
      <w:pPr>
        <w:ind w:left="420"/>
      </w:pPr>
      <w:r>
        <w:t xml:space="preserve">2. die Bewertung des wissenschaftlichen Gespräches und der fachbezogenen mündlichen Prüfung mit 70 Prozent.</w:t>
      </w:r>
    </w:p>
    <w:p>
      <w:r>
        <w:t xml:space="preserve">(3) Die Verteidigung der Bachelorthesis ist bestanden, wenn die Rangpunktzahl der Verteidigung der Bachelorthesis mindestens 5,00 beträgt.</w:t>
      </w:r>
    </w:p>
    <w:p>
      <w:r>
        <w:t xml:space="preserve">(4) Die Rangpunktzahl einer bestandenen Verteidigung der Bachelorthesis wird kaufmännisch auf eine ganze Zahl gerundet.</w:t>
      </w:r>
    </w:p>
    <w:p>
      <w:r>
        <w:rPr>
          <w:color w:val="555555"/>
          <w:sz w:val="17"/>
        </w:rPr>
        <w:t xml:space="preserve">Zitiervorschlag: § 49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