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GntDBwVVDV — Zulassung zur Verteidigung der Bachelorthesis und Termin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Zugelassen zur Verteidigung der Bachelorthesis wird, wer</w:t>
      </w:r>
    </w:p>
    <w:p>
      <w:pPr>
        <w:ind w:left="420"/>
      </w:pPr>
      <w:r>
        <w:t xml:space="preserve">1. die Modulprüfungen in den Modulen 2 bis 19 und in allen Praxismodulen bestanden hat und</w:t>
      </w:r>
    </w:p>
    <w:p>
      <w:pPr>
        <w:ind w:left="420"/>
      </w:pPr>
      <w:r>
        <w:t xml:space="preserve">2. die Bachelorthesis bestanden hat.</w:t>
      </w:r>
    </w:p>
    <w:p>
      <w:r>
        <w:t xml:space="preserve">(2) Den Termin für die Verteidigung der Bachelorthesis legt das Prüfungsamt fest.</w:t>
      </w:r>
    </w:p>
    <w:p>
      <w:r>
        <w:rPr>
          <w:color w:val="555555"/>
          <w:sz w:val="17"/>
        </w:rPr>
        <w:t xml:space="preserve">Zitiervorschlag: § 47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