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GntDBwVVDV — Abgabe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Bachelorthesis ist innerhalb der Bearbeitungszeit beim Prüfungsamt abzugeben.</w:t>
      </w:r>
    </w:p>
    <w:p>
      <w:r>
        <w:t xml:space="preserve">(2) Bei der Abgabe muss die oder der Studierende schriftlich versichern, dass sie oder er</w:t>
      </w:r>
    </w:p>
    <w:p>
      <w:pPr>
        <w:ind w:left="420"/>
      </w:pPr>
      <w:r>
        <w:t xml:space="preserve">1. die Bachelorthesis selbständig und ohne fremde Mitwirkung verfasst hat und</w:t>
      </w:r>
    </w:p>
    <w:p>
      <w:pPr>
        <w:ind w:left="420"/>
      </w:pPr>
      <w:r>
        <w:t xml:space="preserve">2. nur die angegebenen Quellen und Hilfsmittel verwendet hat.</w:t>
      </w:r>
    </w:p>
    <w:p>
      <w:r>
        <w:t xml:space="preserve">(3) Die Abgabe ist durch das Prüfungsamt zu dokumentieren.</w:t>
      </w:r>
    </w:p>
    <w:p>
      <w:r>
        <w:rPr>
          <w:color w:val="555555"/>
          <w:sz w:val="17"/>
        </w:rPr>
        <w:t xml:space="preserve">Zitiervorschlag: § 44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