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GntDBwVVDV — Durchführungsort der Praxismodule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Praxismodule I bis III finden in einer Oberbehörde oder einer Unterbehörde der Bundeswehrverwaltung statt. Sie werden von der Einstellungsbehörde im Einvernehmen mit der Hochschule organisiert und durchgeführt.</w:t>
      </w:r>
    </w:p>
    <w:p>
      <w:r>
        <w:t xml:space="preserve">(2) Das Praxismodul IV wird vom Bundessprachenamt an der Hochschule durchgeführt.</w:t>
      </w:r>
    </w:p>
    <w:p>
      <w:r>
        <w:rPr>
          <w:color w:val="555555"/>
          <w:sz w:val="17"/>
        </w:rPr>
        <w:t xml:space="preserve">Zitiervorschlag: § 25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