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GntDBwVVDV — ECTS-Leistungspunkte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 Semester erwerben die Studierenden 30 Leistungspunkte nach dem Europäischen System zur Übertragung und Akkumulierung von Studienleistungen (ECTS-Leistungspunkte).</w:t>
      </w:r>
    </w:p>
    <w:p>
      <w:r>
        <w:t xml:space="preserve">(2) Ein ECTS-Leistungspunkt entspricht einem Arbeitsaufwand von 30 Stunden.</w:t>
      </w:r>
    </w:p>
    <w:p>
      <w:r>
        <w:t xml:space="preserve">(3) Für einen erfolgreichen Abschluss des Studiums werden 180 ECTS-Leistungspunkte benötigt.</w:t>
      </w:r>
    </w:p>
    <w:p>
      <w:r>
        <w:rPr>
          <w:color w:val="555555"/>
          <w:sz w:val="17"/>
        </w:rPr>
        <w:t xml:space="preserve">Zitiervorschlag: § 20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