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GntDBwVVDV — Zulassung zum mündlichen Teil des Auswahlverfahrens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mündlichen Teil des Auswahlverfahrens wird zugelassen, wer bei den Eignungsmerkmalen, die ausschließlich im schriftlichen Teil bewertet werden, das festgelegte Mindestergebnis erreicht hat.</w:t>
      </w:r>
    </w:p>
    <w:p>
      <w:r>
        <w:t xml:space="preserve">(2) Schwerbehinderte Bewerberinnen und Bewerber und gleichgestellte Bewerberinnen und Bewerber werden zum mündlichen Teil des Auswahlverfahrens zugelassen, wenn sie am schriftlichen Teil teilgenommen haben.</w:t>
      </w:r>
    </w:p>
    <w:p>
      <w:r>
        <w:rPr>
          <w:color w:val="555555"/>
          <w:sz w:val="17"/>
        </w:rPr>
        <w:t xml:space="preserve">Zitiervorschlag: § 14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