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GntDAIVAPrV — Studieninhalte, Module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Studieninhalte werden in Modulen vermittelt. Die Inhalte der Module richten sich nach dem Modulhandbuch in der jeweils bei Aufnahme des Studiums geltenden Fassung. Es sind alle Module zu absolvieren.</w:t>
      </w:r>
    </w:p>
    <w:p>
      <w:r>
        <w:t xml:space="preserve">(2) Im Grundstudium sind Module in den folgenden Kompetenzbereichen zu absolvieren:</w:t>
      </w:r>
    </w:p>
    <w:p>
      <w:pPr>
        <w:ind w:left="420"/>
      </w:pPr>
      <w:r>
        <w:t xml:space="preserve">1. Staatsrechtliche und politische Grundlagen des Verwaltungshandelns,</w:t>
      </w:r>
    </w:p>
    <w:p>
      <w:pPr>
        <w:ind w:left="420"/>
      </w:pPr>
      <w:r>
        <w:t xml:space="preserve">2. Rechtliche Grundlagen des Verwaltungshandelns,</w:t>
      </w:r>
    </w:p>
    <w:p>
      <w:pPr>
        <w:ind w:left="420"/>
      </w:pPr>
      <w:r>
        <w:t xml:space="preserve">3. Volks- und finanzwirtschaftliche Grundlagen des Verwaltungshandelns,</w:t>
      </w:r>
    </w:p>
    <w:p>
      <w:pPr>
        <w:ind w:left="420"/>
      </w:pPr>
      <w:r>
        <w:t xml:space="preserve">4. Betriebswirtschaftliche Grundlagen des Verwaltungshandelns, Organisation und Informationsverarbeitung,</w:t>
      </w:r>
    </w:p>
    <w:p>
      <w:pPr>
        <w:ind w:left="420"/>
      </w:pPr>
      <w:r>
        <w:t xml:space="preserve">5. Sozialwissenschaftliche Grundlagen des Verwaltungshandelns und Englisch.</w:t>
      </w:r>
    </w:p>
    <w:p>
      <w:r>
        <w:t xml:space="preserve">(3) Im Hauptstudium sind Module in den folgenden Kompetenzbereichen zu absolvieren:</w:t>
      </w:r>
    </w:p>
    <w:p>
      <w:pPr>
        <w:ind w:left="420"/>
      </w:pPr>
      <w:r>
        <w:t xml:space="preserve">1. Verfassungsrechtliche und europarechtliche Rahmenbedingungen der Bundesverwaltung,</w:t>
      </w:r>
    </w:p>
    <w:p>
      <w:pPr>
        <w:ind w:left="420"/>
      </w:pPr>
      <w:r>
        <w:t xml:space="preserve">2. Öffentlich-rechtliches Handeln in der Bundesverwaltung,</w:t>
      </w:r>
    </w:p>
    <w:p>
      <w:pPr>
        <w:ind w:left="420"/>
      </w:pPr>
      <w:r>
        <w:t xml:space="preserve">3. Privatrechtliches Handeln in der Bundesverwaltung,</w:t>
      </w:r>
    </w:p>
    <w:p>
      <w:pPr>
        <w:ind w:left="420"/>
      </w:pPr>
      <w:r>
        <w:t xml:space="preserve">4. Betriebswirtschaft in der Bundesverwaltung,</w:t>
      </w:r>
    </w:p>
    <w:p>
      <w:pPr>
        <w:ind w:left="420"/>
      </w:pPr>
      <w:r>
        <w:t xml:space="preserve">5. Finanzen in der Bundesverwaltung,</w:t>
      </w:r>
    </w:p>
    <w:p>
      <w:pPr>
        <w:ind w:left="420"/>
      </w:pPr>
      <w:r>
        <w:t xml:space="preserve">6. Personal in der Bundesverwaltung,</w:t>
      </w:r>
    </w:p>
    <w:p>
      <w:pPr>
        <w:ind w:left="420"/>
      </w:pPr>
      <w:r>
        <w:t xml:space="preserve">7. Interkulturelles Handeln in der Bundesverwaltung.</w:t>
      </w:r>
    </w:p>
    <w:p>
      <w:r>
        <w:t xml:space="preserve">(3a) (weggefallen)</w:t>
      </w:r>
    </w:p>
    <w:p>
      <w:r>
        <w:t xml:space="preserve">(4) Die Teilnahme an den Lehrveranstaltungen ist verpflichtend.</w:t>
      </w:r>
    </w:p>
    <w:p>
      <w:r>
        <w:t xml:space="preserve">(5) Die Hochschule kann festlegen, dass digitale Lehrformate für einzelne Lehrveranstaltungen des Präsenz- und des Fernstudiengangs genutzt werden.</w:t>
      </w:r>
    </w:p>
    <w:p>
      <w:r>
        <w:rPr>
          <w:color w:val="555555"/>
          <w:sz w:val="17"/>
        </w:rPr>
        <w:t xml:space="preserve">Zitiervorschlag: § 7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