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GntDAIVAPrV — Dienstbehörden; Freistellung</w:t>
      </w:r>
    </w:p>
    <w:p>
      <w:r>
        <w:rPr>
          <w:color w:val="555555"/>
          <w:sz w:val="18"/>
        </w:rPr>
        <w:t xml:space="preserve">Verordnung über den Vorbereitungsdienst für den gehobenen nichttechnischen Dienst in der allgemeinen und inneren Verwaltung des Bundes</w:t>
      </w:r>
    </w:p>
    <w:p>
      <w:r>
        <w:rPr>
          <w:color w:val="555555"/>
          <w:sz w:val="18"/>
        </w:rPr>
        <w:t xml:space="preserve">Stand: 24.08.2021 (konsolidierte Textfassung, kein amtliches Inkrafttretensdatum)</w:t>
      </w:r>
    </w:p>
    <w:p>
      <w:r>
        <w:t xml:space="preserve">(1) Im Präsenzstudiengang ist die Hochschule als Einstellungsbehörde der Studierenden für die dienstrechtlichen Entscheidungen zuständig. Während der berufspraktischen Studienzeiten in den Ausbildungsbehörden des Bundes unterstehen die Studierenden neben der Dienstaufsicht der Präsidentin oder des Präsidenten der Hochschule auch der Dienstaufsicht der Leitungen der Ausbildungsbehörden.</w:t>
      </w:r>
    </w:p>
    <w:p>
      <w:r>
        <w:t xml:space="preserve">(2) Im Fernstudiengang verbleiben die Studierenden bei ihren bisherigen Dienststellen. Sie sind für den Besuch der Präsenzveranstaltungen, für die Teilnahme an Prüfungen und im Rahmen weiterer Anwesenheitspflichten an der Hochschule von ihren sonstigen Dienstpflichten freizustellen. Für die Anfertigung der Diplomarbeit ist ihnen eine Dienstbefreiung im Umfang von sechs Wochen zu gewähren. Zum Fern- und Selbststudium ist ihnen eine Dienstbefreiung im Umfang von 47 Arbeitstagen pro Studienabschnitt zu gewähren, die gleichmäßig auf die Module verteilt werden soll.</w:t>
      </w:r>
    </w:p>
    <w:p>
      <w:r>
        <w:rPr>
          <w:color w:val="555555"/>
          <w:sz w:val="17"/>
        </w:rPr>
        <w:t xml:space="preserve">Zitiervorschlag: § 3 GntDAIVAPrV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https://recht.nulegal.eu/gesetze/GntDAIVAPrV/3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