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GntDAIVAPrV — Inkrafttreten, Außerkrafttreten</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10.06.2019 (konsolidierte Textfassung, kein amtliches Inkrafttretensdatum)</w:t>
      </w:r>
    </w:p>
    <w:p>
      <w:r>
        <w:t xml:space="preserve">Diese Verordnung tritt am Tag nach der Verkündung in Kraft. Gleichzeitig tritt die Verordnung über die Laufbahn, Ausbildung und Prüfung für den gehobenen nichttechnischen Dienst in der allgemeinen und inneren Verwaltung des Bundes vom 12. Juli 2001 (BGBl. I S. 1578), die zuletzt durch § 56 Absatz 8 der Verordnung vom 12. Februar 2009 (BGBl. I S. 284) geändert worden ist, außer Kraft.</w:t>
      </w:r>
    </w:p>
    <w:p>
      <w:r>
        <w:rPr>
          <w:color w:val="555555"/>
          <w:sz w:val="17"/>
        </w:rPr>
        <w:t xml:space="preserve">Zitiervorschlag: § 24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