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9c GmbHG — Ablehnung der Eintragung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Gesellschaft nicht ordnungsgemäß errichtet und angemeldet, so hat das Gericht die Eintragung abzulehnen. Dies gilt auch, wenn Sacheinlagen nicht unwesentlich überbewertet worden sind.</w:t>
      </w:r>
    </w:p>
    <w:p>
      <w:r>
        <w:t xml:space="preserve">(2) Wegen einer mangelhaften, fehlenden oder nichtigen Bestimmung des Gesellschaftsvertrages darf das Gericht die Eintragung nach Absatz 1 nur ablehnen, soweit diese Bestimmung, ihr Fehlen oder ihre Nichtigkeit</w:t>
      </w:r>
    </w:p>
    <w:p>
      <w:pPr>
        <w:ind w:left="420"/>
      </w:pPr>
      <w:r>
        <w:t xml:space="preserve">1. Tatsachen oder Rechtsverhältnisse betrifft, die nach § 3 Abs. 1 oder auf Grund anderer zwingender gesetzlicher Vorschriften in dem Gesellschaftsvertrag bestimmt sein müssen oder die in das Handelsregister einzutragen oder von dem Gericht bekanntzumachen sind,</w:t>
      </w:r>
    </w:p>
    <w:p>
      <w:pPr>
        <w:ind w:left="420"/>
      </w:pPr>
      <w:r>
        <w:t xml:space="preserve">2. Vorschriften verletzt, die ausschließlich oder überwiegend zum Schutze der Gläubiger der Gesellschaft oder sonst im öffentlichen Interesse gegeben sind, oder</w:t>
      </w:r>
    </w:p>
    <w:p>
      <w:pPr>
        <w:ind w:left="420"/>
      </w:pPr>
      <w:r>
        <w:t xml:space="preserve">3. die Nichtigkeit des Gesellschaftsvertrages zur Folge hat.</w:t>
      </w:r>
    </w:p>
    <w:p>
      <w:r>
        <w:rPr>
          <w:color w:val="555555"/>
          <w:sz w:val="17"/>
        </w:rPr>
        <w:t xml:space="preserve">Zitiervorschlag: § 9c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https://recht.nulegal.eu/gesetze/GmbHG/9c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