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GmbHG — Wirkung der Nichtigkeit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Nichtigkeit einer Gesellschaft in das Handelsregister eingetragen, so finden zum Zwecke der Abwicklung ihrer Verhältnisse die für den Fall der Auflösung geltenden Vorschriften entsprechende Anwendung.</w:t>
      </w:r>
    </w:p>
    <w:p>
      <w:r>
        <w:t xml:space="preserve">(2) Die Wirksamkeit der im Namen der Gesellschaft mit Dritten vorgenommenen Rechtsgeschäfte wird durch die Nichtigkeit nicht berührt.</w:t>
      </w:r>
    </w:p>
    <w:p>
      <w:r>
        <w:t xml:space="preserve">(3) Die Gesellschafter haben die versprochenen Einzahlungen zu leisten, soweit es zur Erfüllung der eingegangenen Verbindlichkeiten erforderlich ist.</w:t>
      </w:r>
    </w:p>
    <w:p>
      <w:r>
        <w:rPr>
          <w:color w:val="555555"/>
          <w:sz w:val="17"/>
        </w:rPr>
        <w:t xml:space="preserve">Zitiervorschlag: § 77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