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GmbHG — Nichtigkeitsklage</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Enthält der Gesellschaftsvertrag keine Bestimmungen über die Höhe des Stammkapitals oder über den Gegenstand des Unternehmens oder sind die Bestimmungen des Gesellschaftsvertrags über den Gegenstand des Unternehmens nichtig, so kann jeder Gesellschafter, jeder Geschäftsführer und, wenn ein Aufsichtsrat bestellt ist, jedes Mitglied des Aufsichtsrats im Wege der Klage beantragen, daß die Gesellschaft für nichtig erklärt werde.</w:t>
      </w:r>
    </w:p>
    <w:p>
      <w:r>
        <w:t xml:space="preserve">(2) Die Vorschriften der §§ 246 bis 248 des Aktiengesetzes finden entsprechende Anwendung.</w:t>
      </w:r>
    </w:p>
    <w:p>
      <w:r>
        <w:rPr>
          <w:color w:val="555555"/>
          <w:sz w:val="17"/>
        </w:rPr>
        <w:t xml:space="preserve">Zitiervorschlag: § 75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