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GmbHG — Rechtsverhältnisse von Gesellschaft und Gesellschaftern</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Bis zur Beendigung der Liquidation kommen ungeachtet der Auflösung der Gesellschaft in bezug auf die Rechtsverhältnisse derselben und der Gesellschafter die Vorschriften des zweiten und dritten Abschnitts zur Anwendung, soweit sich aus den Bestimmungen des gegenwärtigen Abschnitts und aus dem Wesen der Liquidation nicht ein anderes ergibt.</w:t>
      </w:r>
    </w:p>
    <w:p>
      <w:r>
        <w:t xml:space="preserve">(2) Der Gerichtsstand, welchen die Gesellschaft zur Zeit ihrer Auflösung hatte, bleibt bis zur vollzogenen Verteilung des Vermögens bestehen.</w:t>
      </w:r>
    </w:p>
    <w:p>
      <w:r>
        <w:rPr>
          <w:color w:val="555555"/>
          <w:sz w:val="17"/>
        </w:rPr>
        <w:t xml:space="preserve">Zitiervorschlag: § 69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