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GmbHG — Auflösung durch eine Verwaltungsbehörde</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Wenn eine Gesellschaft das Gemeinwohl dadurch gefährdet, daß die Gesellschafter gesetzwidrige Beschlüsse fassen oder gesetzwidrige Handlungen der Geschäftsführer wissentlich geschehen lassen, so kann sie aufgelöst werden, ohne daß deshalb ein Anspruch auf Entschädigung stattfindet.</w:t>
      </w:r>
    </w:p>
    <w:p>
      <w:r>
        <w:t xml:space="preserve">(2) Das Verfahren und die Zuständigkeit der Behörden richtet sich nach den für streitige Verwaltungssachen ... geltenden Vorschriften.</w:t>
      </w:r>
    </w:p>
    <w:p>
      <w:r>
        <w:rPr>
          <w:color w:val="555555"/>
          <w:sz w:val="17"/>
        </w:rPr>
        <w:t xml:space="preserve">Zitiervorschlag: § 62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