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GmbHG — Auflösung durch Urteil</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Gesellschaft kann durch gerichtliches Urteil aufgelöst werden, wenn die Erreichung des Gesellschaftszweckes unmöglich wird, oder wenn andere, in den Verhältnissen der Gesellschaft liegende, wichtige Gründe für die Auflösung vorhanden sind.</w:t>
      </w:r>
    </w:p>
    <w:p>
      <w:r>
        <w:t xml:space="preserve">(2) Die Auflösungsklage ist gegen die Gesellschaft zu richten. Sie kann nur von Gesellschaftern erhoben werden, deren Geschäftsanteile zusammen mindestens dem zehnten Teil des Stammkapitals entsprechen.</w:t>
      </w:r>
    </w:p>
    <w:p>
      <w:r>
        <w:t xml:space="preserve">(3) Für die Klage ist das Landgericht ausschließlich zuständig, in dessen Bezirk die Gesellschaft ihren Sitz hat.</w:t>
      </w:r>
    </w:p>
    <w:p>
      <w:r>
        <w:rPr>
          <w:color w:val="555555"/>
          <w:sz w:val="17"/>
        </w:rPr>
        <w:t xml:space="preserve">Zitiervorschlag: § 61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