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58b GmbHG — Beträge aus Rücklagenauflösung und Kapitalherabsetzung</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Beträge, die aus der Auflösung der Kapital- oder Gewinnrücklagen und aus der Kapitalherabsetzung gewonnen werden, dürfen nur verwandt werden, um Wertminderungen auszugleichen und sonstige Verluste zu decken.</w:t>
      </w:r>
    </w:p>
    <w:p>
      <w:r>
        <w:t xml:space="preserve">(2) Daneben dürfen die gewonnenen Beträge in die Kapitalrücklage eingestellt werden, soweit diese zehn vom Hundert des Stammkapitals nicht übersteigt. Als Stammkapital gilt dabei der Nennbetrag, der sich durch die Herabsetzung ergibt, mindestens aber der nach § 5 Abs. 1 zulässige Mindestnennbetrag.</w:t>
      </w:r>
    </w:p>
    <w:p>
      <w:r>
        <w:t xml:space="preserve">(3) Ein Betrag, der auf Grund des Absatzes 2 in die Kapitalrücklage eingestellt worden ist, darf vor Ablauf des fünften nach der Beschlußfassung über die Kapitalherabsetzung beginnenden Geschäftsjahrs nur verwandt werden</w:t>
      </w:r>
    </w:p>
    <w:p>
      <w:pPr>
        <w:ind w:left="420"/>
      </w:pPr>
      <w:r>
        <w:t xml:space="preserve">1. zum Ausgleich eines Jahresfehlbetrags, soweit er nicht durch einen Gewinnvortrag aus dem Vorjahr gedeckt ist und nicht durch Auflösung von Gewinnrücklagen ausgeglichen werden kann;</w:t>
      </w:r>
    </w:p>
    <w:p>
      <w:pPr>
        <w:ind w:left="420"/>
      </w:pPr>
      <w:r>
        <w:t xml:space="preserve">2. zum Ausgleich eines Verlustvortrags aus dem Vorjahr, soweit er nicht durch einen Jahresüberschuß gedeckt ist und nicht durch Auflösung von Gewinnrücklagen ausgeglichen werden kann;</w:t>
      </w:r>
    </w:p>
    <w:p>
      <w:pPr>
        <w:ind w:left="420"/>
      </w:pPr>
      <w:r>
        <w:t xml:space="preserve">3. zur Kapitalerhöhung aus Gesellschaftsmitteln.</w:t>
      </w:r>
    </w:p>
    <w:p>
      <w:r>
        <w:rPr>
          <w:color w:val="555555"/>
          <w:sz w:val="17"/>
        </w:rPr>
        <w:t xml:space="preserve">Zitiervorschlag: § 58b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