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57n GmbHG — Gewinnbeteiligung der neuen Geschäftsanteile</w:t>
      </w:r>
    </w:p>
    <w:p>
      <w:r>
        <w:rPr>
          <w:color w:val="555555"/>
          <w:sz w:val="18"/>
        </w:rPr>
        <w:t xml:space="preserve">Gesetz betreffend die Gesellschaften mit beschränkter Haftung</w:t>
      </w:r>
    </w:p>
    <w:p>
      <w:r>
        <w:rPr>
          <w:color w:val="555555"/>
          <w:sz w:val="18"/>
        </w:rPr>
        <w:t xml:space="preserve">Stand: 10.06.2019 (konsolidierte Textfassung, kein amtliches Inkrafttretensdatum)</w:t>
      </w:r>
    </w:p>
    <w:p>
      <w:r>
        <w:t xml:space="preserve">(1) Die neuen Geschäftsanteile nehmen, wenn nichts anderes bestimmt ist, am Gewinn des ganzen Geschäftsjahres teil, in dem die Erhöhung des Stammkapitals beschlossen worden ist.</w:t>
      </w:r>
    </w:p>
    <w:p>
      <w:r>
        <w:t xml:space="preserve">(2) Im Beschluß über die Erhöhung des Stammkapitals kann bestimmt werden, daß die neuen Geschäftsanteile bereits am Gewinn des letzten vor der Beschlußfassung über die Kapitalerhöhung abgelaufenen Geschäftsjahrs teilnehmen. In diesem Fall ist die Erhöhung des Stammkapitals abweichend von § 57c Abs. 2 zu beschließen, bevor über die Ergebnisverwendung für das letzte vor der Beschlußfassung abgelaufene Geschäftsjahr Beschluß gefaßt worden ist. Der Beschluß über die Ergebnisverwendung für das letzte vor der Beschlußfassung über die Kapitalerhöhung abgelaufene Geschäftsjahr wird erst wirksam, wenn das Stammkapital erhöht worden ist. Der Beschluß über die Erhöhung des Stammkapitals und der Beschluß über die Ergebnisverwendung für das letzte vor der Beschlußfassung über die Kapitalerhöhung abgelaufene Geschäftsjahr sind nichtig, wenn der Beschluß über die Kapitalerhöhung nicht binnen drei Monaten nach der Beschlußfassung in das Handelsregister eingetragen worden ist; der Lauf der Frist ist gehemmt, solange eine Anfechtungs- oder Nichtigkeitsklage rechtshängig ist.</w:t>
      </w:r>
    </w:p>
    <w:p>
      <w:r>
        <w:rPr>
          <w:color w:val="555555"/>
          <w:sz w:val="17"/>
        </w:rPr>
        <w:t xml:space="preserve">Zitiervorschlag: § 57n GmbHG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https://recht.nulegal.eu/gesetze/GmbHG/57n</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