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57m GmbHG — Verhältnis der Rechte; Beziehungen zu Dritten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Das Verhältnis der mit den Geschäftsanteilen verbundenen Rechte zueinander wird durch die Kapitalerhöhung nicht berührt.</w:t>
      </w:r>
    </w:p>
    <w:p>
      <w:r>
        <w:t xml:space="preserve">(2) Soweit sich einzelne Rechte teileingezahlter Geschäftsanteile, insbesondere die Beteiligung am Gewinn oder das Stimmrecht, nach der je Geschäftsanteil geleisteten Einlage bestimmen, stehen diese Rechte den Gesellschaftern bis zur Leistung der noch ausstehenden Einlagen nur nach der Höhe der geleisteten Einlage, erhöht um den auf den Nennbetrag des Stammkapitals berechneten Hundertsatz der Erhöhung des Stammkapitals, zu. Werden weitere Einzahlungen geleistet, so erweitern sich diese Rechte entsprechend.</w:t>
      </w:r>
    </w:p>
    <w:p>
      <w:r>
        <w:t xml:space="preserve">(3) Der wirtschaftliche Inhalt vertraglicher Beziehungen der Gesellschaft zu Dritten, die von der Gewinnausschüttung der Gesellschaft, dem Nennbetrag oder Wert ihrer Geschäftsanteile oder ihres Stammkapitals oder in sonstiger Weise von den bisherigen Kapital- oder Gewinnverhältnissen abhängen, wird durch die Kapitalerhöhung nicht berührt.</w:t>
      </w:r>
    </w:p>
    <w:p>
      <w:r>
        <w:rPr>
          <w:color w:val="555555"/>
          <w:sz w:val="17"/>
        </w:rPr>
        <w:t xml:space="preserve">Zitiervorschlag: § 57m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