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55a GmbHG — Genehmigtes Kapital</w:t>
      </w:r>
    </w:p>
    <w:p>
      <w:r>
        <w:rPr>
          <w:color w:val="555555"/>
          <w:sz w:val="18"/>
        </w:rPr>
        <w:t xml:space="preserve">Gesetz betreffend die Gesellschaften mit beschränkter Haftung</w:t>
      </w:r>
    </w:p>
    <w:p>
      <w:r>
        <w:rPr>
          <w:color w:val="555555"/>
          <w:sz w:val="18"/>
        </w:rPr>
        <w:t xml:space="preserve">Stand: 10.06.2019 (konsolidierte Textfassung, kein amtliches Inkrafttretensdatum)</w:t>
      </w:r>
    </w:p>
    <w:p>
      <w:r>
        <w:t xml:space="preserve">(1) Der Gesellschaftsvertrag kann die Geschäftsführer für höchstens fünf Jahre nach Eintragung der Gesellschaft ermächtigen, das Stammkapital bis zu einem bestimmten Nennbetrag (genehmigtes Kapital) durch Ausgabe neuer Geschäftsanteile gegen Einlagen zu erhöhen. Der Nennbetrag des genehmigten Kapitals darf die Hälfte des Stammkapitals, das zur Zeit der Ermächtigung vorhanden ist, nicht übersteigen.</w:t>
      </w:r>
    </w:p>
    <w:p>
      <w:r>
        <w:t xml:space="preserve">(2) Die Ermächtigung kann auch durch Abänderung des Gesellschaftsvertrags für höchstens fünf Jahre nach deren Eintragung erteilt werden.</w:t>
      </w:r>
    </w:p>
    <w:p>
      <w:r>
        <w:t xml:space="preserve">(3) Gegen Sacheinlagen (§ 56) dürfen Geschäftsanteile nur ausgegeben werden, wenn die Ermächtigung es vorsieht.</w:t>
      </w:r>
    </w:p>
    <w:p>
      <w:r>
        <w:rPr>
          <w:color w:val="555555"/>
          <w:sz w:val="17"/>
        </w:rPr>
        <w:t xml:space="preserve">Zitiervorschlag: § 55a GmbHG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https://recht.nulegal.eu/gesetze/GmbHG/55a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