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GmbHG — Erhöhung des Stammkapitals</w:t>
      </w:r>
    </w:p>
    <w:p>
      <w:r>
        <w:rPr>
          <w:color w:val="555555"/>
          <w:sz w:val="18"/>
        </w:rPr>
        <w:t xml:space="preserve">Gesetz betreffend die Gesellschaften mit beschränkter Haftung</w:t>
      </w:r>
    </w:p>
    <w:p>
      <w:r>
        <w:rPr>
          <w:color w:val="555555"/>
          <w:sz w:val="18"/>
        </w:rPr>
        <w:t xml:space="preserve">Stand: 01.08.2023 (konsolidierte Textfassung, kein amtliches Inkrafttretensdatum)</w:t>
      </w:r>
    </w:p>
    <w:p>
      <w:r>
        <w:t xml:space="preserve">(1) Wird eine Erhöhung des Stammkapitals beschlossen, so bedarf es zur Übernahme jedes Geschäftsanteils an dem erhöhten Kapital einer notariell aufgenommenen oder beglaubigten Erklärung des Übernehmers. Die notarielle Aufnahme oder Beglaubigung der Erklärung kann auch mittels Videokommunikation gemäß den §§ 16a bis 16e und 40a des Beurkundungsgesetzes erfolgen.</w:t>
      </w:r>
    </w:p>
    <w:p>
      <w:r>
        <w:t xml:space="preserve">(2) Zur Übernahme eines Geschäftsanteils können von der Gesellschaft die bisherigen Gesellschafter oder andere Personen, welche durch die Übernahme ihren Beitritt zu der Gesellschaft erklären, zugelassen werden. Im letzteren Fall sind außer dem Nennbetrag des Geschäftsanteils auch sonstige Leistungen, zu welchen der Beitretende nach dem Gesellschaftsvertrag verpflichtet sein soll, in der in Absatz 1 bezeichneten Urkunde ersichtlich zu machen.</w:t>
      </w:r>
    </w:p>
    <w:p>
      <w:r>
        <w:t xml:space="preserve">(3) Wird von einem der Gesellschaft bereits angehörenden Gesellschafter ein Geschäftsanteil an dem erhöhten Kapital übernommen, so erwirbt derselbe einen weiteren Geschäftsanteil.</w:t>
      </w:r>
    </w:p>
    <w:p>
      <w:r>
        <w:t xml:space="preserve">(4) Die Bestimmungen in § 5 Abs. 2 und 3 über die Nennbeträge der Geschäftsanteile sowie die Bestimmungen in § 19 Abs. 6 über die Verjährung des Anspruchs der Gesellschaft auf Leistung der Einlagen sind auch hinsichtlich der an dem erhöhten Kapital übernommenen Geschäftsanteile anzuwenden.</w:t>
      </w:r>
    </w:p>
    <w:p>
      <w:r>
        <w:rPr>
          <w:color w:val="555555"/>
          <w:sz w:val="17"/>
        </w:rPr>
        <w:t xml:space="preserve">Zitiervorschlag: § 55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