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54 GmbHG — Anmeldung und Eintragung der Satzungsänderung</w:t>
      </w:r>
    </w:p>
    <w:p>
      <w:r>
        <w:rPr>
          <w:color w:val="555555"/>
          <w:sz w:val="18"/>
        </w:rPr>
        <w:t xml:space="preserve">Gesetz betreffend die Gesellschaften mit beschränkter Haftung</w:t>
      </w:r>
    </w:p>
    <w:p>
      <w:r>
        <w:rPr>
          <w:color w:val="555555"/>
          <w:sz w:val="18"/>
        </w:rPr>
        <w:t xml:space="preserve">Stand: 10.06.2019 (konsolidierte Textfassung, kein amtliches Inkrafttretensdatum)</w:t>
      </w:r>
    </w:p>
    <w:p>
      <w:r>
        <w:t xml:space="preserve">(1) Die Abänderung des Gesellschaftsvertrags ist zur Eintragung in das Handelsregister anzumelden. Der Anmeldung ist der vollständige Wortlaut des Gesellschaftsvertrags beizufügen; er muß mit der Bescheinigung eines Notars versehen sein, daß die geänderten Bestimmungen des Gesellschaftsvertrags mit dem Beschluß über die Änderung des Gesellschaftsvertrags und die unveränderten Bestimmungen mit dem zuletzt zum Handelsregister eingereichten vollständigen Wortlaut des Gesellschaftsvertrags übereinstimmen.</w:t>
      </w:r>
    </w:p>
    <w:p>
      <w:r>
        <w:t xml:space="preserve">(2) Bei der Eintragung genügt, sofern nicht die Abänderung die in § 10 bezeichneten Angaben betrifft, die Bezugnahme auf die bei dem Gericht eingereichten Dokumente über die Abänderung.</w:t>
      </w:r>
    </w:p>
    <w:p>
      <w:r>
        <w:t xml:space="preserve">(3) Die Abänderung hat keine rechtliche Wirkung, bevor sie in das Handelsregister des Sitzes der Gesellschaft eingetragen ist.</w:t>
      </w:r>
    </w:p>
    <w:p>
      <w:r>
        <w:rPr>
          <w:color w:val="555555"/>
          <w:sz w:val="17"/>
        </w:rPr>
        <w:t xml:space="preserve">Zitiervorschlag: § 54 GmbHG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https://recht.nulegal.eu/gesetze/GmbHG/54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