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53 GmbHG — Form der Satzungsänderung</w:t>
      </w:r>
    </w:p>
    <w:p>
      <w:r>
        <w:rPr>
          <w:color w:val="555555"/>
          <w:sz w:val="18"/>
        </w:rPr>
        <w:t xml:space="preserve">Gesetz betreffend die Gesellschaften mit beschränkter Haftung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(1) Eine Abänderung des Gesellschaftsvertrags kann nur durch Beschluss der Gesellschafter erfolgen.</w:t>
      </w:r>
    </w:p>
    <w:p>
      <w:r>
        <w:t xml:space="preserve">(2) Der Beschluss bedarf einer Mehrheit von drei Vierteilen der abgegebenen Stimmen. Der Gesellschaftsvertrag kann noch andere Erfordernisse aufstellen.</w:t>
      </w:r>
    </w:p>
    <w:p>
      <w:r>
        <w:t xml:space="preserve">(3) Der Beschluss muss notariell beurkundet werden. Erfolgt die Beschlussfassung einstimmig, so ist § 2 Absatz 3 Satz 1, 3 und 4 entsprechend anzuwenden.</w:t>
      </w:r>
    </w:p>
    <w:p>
      <w:r>
        <w:t xml:space="preserve">(4) Eine Vermehrung der den Gesellschaftern nach dem Gesellschaftsvertrag obliegenden Leistungen kann nur mit Zustimmung sämtlicher beteiligter Gesellschafter beschlossen werden.</w:t>
      </w:r>
    </w:p>
    <w:p>
      <w:r>
        <w:rPr>
          <w:color w:val="555555"/>
          <w:sz w:val="17"/>
        </w:rPr>
        <w:t xml:space="preserve">Zitiervorschlag: § 53 GmbHG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https://recht.nulegal.eu/gesetze/GmbHG/53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